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附件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件4：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613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子活动代码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1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613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目标2：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目标3：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853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6B"/>
    <w:rsid w:val="000F7BD8"/>
    <w:rsid w:val="00411B68"/>
    <w:rsid w:val="00802B65"/>
    <w:rsid w:val="0082492D"/>
    <w:rsid w:val="009557A4"/>
    <w:rsid w:val="00A508A1"/>
    <w:rsid w:val="00C55D1A"/>
    <w:rsid w:val="00DB7C2B"/>
    <w:rsid w:val="00E853FE"/>
    <w:rsid w:val="00EE446B"/>
    <w:rsid w:val="3B7966EB"/>
    <w:rsid w:val="429F400F"/>
    <w:rsid w:val="43B059F4"/>
    <w:rsid w:val="699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2019-06-05T01:40:00Z</dcterms:created>
  <dc:creator>GY-OFFICE</dc:creator>
  <cp:lastModifiedBy>hanxy</cp:lastModifiedBy>
  <cp:lastPrinted>2018-02-27T03:28:00Z</cp:lastPrinted>
  <dcterms:modified xsi:type="dcterms:W3CDTF">2021-06-18T00:53:38Z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16BC0F49CAAD4C83A4E55406DE38DE7B</vt:lpwstr>
  </property>
</Properties>
</file>